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DA" w:rsidRDefault="00F238DA" w:rsidP="00F238DA">
      <w:pPr>
        <w:spacing w:after="1" w:line="320" w:lineRule="atLeast"/>
        <w:ind w:firstLine="540"/>
        <w:jc w:val="both"/>
        <w:rPr>
          <w:rFonts w:ascii="Times New Roman" w:hAnsi="Times New Roman"/>
          <w:b/>
          <w:sz w:val="32"/>
        </w:rPr>
      </w:pPr>
    </w:p>
    <w:p w:rsidR="00C24A8B" w:rsidRDefault="00C24A8B" w:rsidP="00F238DA">
      <w:pPr>
        <w:spacing w:after="1" w:line="320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CA8AEAD" wp14:editId="7E4213EA">
            <wp:simplePos x="0" y="0"/>
            <wp:positionH relativeFrom="column">
              <wp:posOffset>3931285</wp:posOffset>
            </wp:positionH>
            <wp:positionV relativeFrom="paragraph">
              <wp:posOffset>297815</wp:posOffset>
            </wp:positionV>
            <wp:extent cx="1200150" cy="1247775"/>
            <wp:effectExtent l="0" t="0" r="0" b="9525"/>
            <wp:wrapSquare wrapText="bothSides"/>
            <wp:docPr id="1" name="Рисунок 1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4A8B" w:rsidRDefault="00C24A8B" w:rsidP="00F238DA">
      <w:pPr>
        <w:spacing w:after="1" w:line="320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C24A8B" w:rsidRDefault="00C24A8B" w:rsidP="00F238DA">
      <w:pPr>
        <w:spacing w:after="1" w:line="320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C24A8B" w:rsidRDefault="00C24A8B" w:rsidP="00F238DA">
      <w:pPr>
        <w:spacing w:after="1" w:line="320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C24A8B" w:rsidRDefault="00C24A8B" w:rsidP="00F238DA">
      <w:pPr>
        <w:spacing w:after="1" w:line="320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C24A8B" w:rsidRDefault="00C24A8B" w:rsidP="00F238DA">
      <w:pPr>
        <w:spacing w:after="1" w:line="320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C24A8B" w:rsidRDefault="00C24A8B" w:rsidP="00F238DA">
      <w:pPr>
        <w:spacing w:after="1" w:line="320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C24A8B" w:rsidRDefault="00C24A8B" w:rsidP="00F238DA">
      <w:pPr>
        <w:spacing w:after="1" w:line="320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F238DA" w:rsidRPr="00B72118" w:rsidRDefault="00F238DA" w:rsidP="00F238DA">
      <w:pPr>
        <w:spacing w:after="1" w:line="320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B72118">
        <w:rPr>
          <w:rFonts w:ascii="Times New Roman" w:hAnsi="Times New Roman"/>
          <w:b/>
          <w:sz w:val="26"/>
          <w:szCs w:val="26"/>
        </w:rPr>
        <w:t>Имущественные налоги, уплачиваемые физическими лицами.</w:t>
      </w:r>
    </w:p>
    <w:p w:rsidR="00F238DA" w:rsidRPr="00B72118" w:rsidRDefault="00F238DA" w:rsidP="00F238DA">
      <w:pPr>
        <w:spacing w:after="1" w:line="320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F238DA" w:rsidRPr="00B72118" w:rsidRDefault="00F238DA" w:rsidP="00F238DA">
      <w:pPr>
        <w:spacing w:after="1" w:line="320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B72118">
        <w:rPr>
          <w:rFonts w:ascii="Times New Roman" w:hAnsi="Times New Roman"/>
          <w:b/>
          <w:sz w:val="26"/>
          <w:szCs w:val="26"/>
        </w:rPr>
        <w:t xml:space="preserve">1 декабря 2017 года наступит срок уплаты имущественных налогов за 2016 год. Налоговая инспекция продолжает информировать граждан по этому вопросу. </w:t>
      </w:r>
    </w:p>
    <w:p w:rsidR="00F238DA" w:rsidRPr="00B72118" w:rsidRDefault="00F238DA" w:rsidP="00F238DA">
      <w:pPr>
        <w:spacing w:after="1" w:line="320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F238DA" w:rsidRPr="00B72118" w:rsidRDefault="00F238DA" w:rsidP="00F238DA">
      <w:pPr>
        <w:spacing w:after="1" w:line="3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sz w:val="26"/>
          <w:szCs w:val="26"/>
        </w:rPr>
        <w:t xml:space="preserve">На основании налогового </w:t>
      </w:r>
      <w:hyperlink r:id="rId6" w:history="1">
        <w:r w:rsidRPr="00B72118">
          <w:rPr>
            <w:rFonts w:ascii="Times New Roman" w:hAnsi="Times New Roman"/>
            <w:sz w:val="26"/>
            <w:szCs w:val="26"/>
          </w:rPr>
          <w:t>уведомления</w:t>
        </w:r>
      </w:hyperlink>
      <w:r w:rsidRPr="00B72118">
        <w:rPr>
          <w:rFonts w:ascii="Times New Roman" w:hAnsi="Times New Roman"/>
          <w:sz w:val="26"/>
          <w:szCs w:val="26"/>
        </w:rPr>
        <w:t xml:space="preserve"> налогоплательщики - физические лица уплачивают следующие имущественные налоги (</w:t>
      </w:r>
      <w:proofErr w:type="spellStart"/>
      <w:r w:rsidRPr="00B72118">
        <w:rPr>
          <w:rFonts w:ascii="Times New Roman" w:hAnsi="Times New Roman"/>
          <w:sz w:val="26"/>
          <w:szCs w:val="26"/>
        </w:rPr>
        <w:fldChar w:fldCharType="begin"/>
      </w:r>
      <w:r w:rsidRPr="00B72118">
        <w:rPr>
          <w:rFonts w:ascii="Times New Roman" w:hAnsi="Times New Roman"/>
          <w:sz w:val="26"/>
          <w:szCs w:val="26"/>
        </w:rPr>
        <w:instrText xml:space="preserve"> HYPERLINK "consultantplus://offline/ref=E7B460B16AEC1DED917914C48146220C3C6EB1C6314E02B5EE8CE443CE3A6EAA3CF3DBA7976FmEG2O" </w:instrText>
      </w:r>
      <w:r w:rsidRPr="00B72118">
        <w:rPr>
          <w:rFonts w:ascii="Times New Roman" w:hAnsi="Times New Roman"/>
          <w:sz w:val="26"/>
          <w:szCs w:val="26"/>
        </w:rPr>
        <w:fldChar w:fldCharType="separate"/>
      </w:r>
      <w:r w:rsidRPr="00B72118">
        <w:rPr>
          <w:rFonts w:ascii="Times New Roman" w:hAnsi="Times New Roman"/>
          <w:sz w:val="26"/>
          <w:szCs w:val="26"/>
        </w:rPr>
        <w:t>абз</w:t>
      </w:r>
      <w:proofErr w:type="spellEnd"/>
      <w:r w:rsidRPr="00B72118">
        <w:rPr>
          <w:rFonts w:ascii="Times New Roman" w:hAnsi="Times New Roman"/>
          <w:sz w:val="26"/>
          <w:szCs w:val="26"/>
        </w:rPr>
        <w:t>. 3 п. 2 ст. 52</w:t>
      </w:r>
      <w:r w:rsidRPr="00B72118">
        <w:rPr>
          <w:rFonts w:ascii="Times New Roman" w:hAnsi="Times New Roman"/>
          <w:sz w:val="26"/>
          <w:szCs w:val="26"/>
        </w:rPr>
        <w:fldChar w:fldCharType="end"/>
      </w:r>
      <w:r w:rsidRPr="00B72118">
        <w:rPr>
          <w:rFonts w:ascii="Times New Roman" w:hAnsi="Times New Roman"/>
          <w:sz w:val="26"/>
          <w:szCs w:val="26"/>
        </w:rPr>
        <w:t xml:space="preserve">, </w:t>
      </w:r>
      <w:hyperlink r:id="rId7" w:history="1">
        <w:r w:rsidRPr="00B72118">
          <w:rPr>
            <w:rFonts w:ascii="Times New Roman" w:hAnsi="Times New Roman"/>
            <w:sz w:val="26"/>
            <w:szCs w:val="26"/>
          </w:rPr>
          <w:t>п. 3 ст. 363</w:t>
        </w:r>
      </w:hyperlink>
      <w:r w:rsidRPr="00B72118">
        <w:rPr>
          <w:rFonts w:ascii="Times New Roman" w:hAnsi="Times New Roman"/>
          <w:sz w:val="26"/>
          <w:szCs w:val="26"/>
        </w:rPr>
        <w:t xml:space="preserve">, </w:t>
      </w:r>
      <w:hyperlink r:id="rId8" w:history="1">
        <w:r w:rsidRPr="00B72118">
          <w:rPr>
            <w:rFonts w:ascii="Times New Roman" w:hAnsi="Times New Roman"/>
            <w:sz w:val="26"/>
            <w:szCs w:val="26"/>
          </w:rPr>
          <w:t>п. 4 ст. 397</w:t>
        </w:r>
      </w:hyperlink>
      <w:r w:rsidRPr="00B72118">
        <w:rPr>
          <w:rFonts w:ascii="Times New Roman" w:hAnsi="Times New Roman"/>
          <w:sz w:val="26"/>
          <w:szCs w:val="26"/>
        </w:rPr>
        <w:t xml:space="preserve">, </w:t>
      </w:r>
      <w:hyperlink r:id="rId9" w:history="1">
        <w:r w:rsidRPr="00B72118">
          <w:rPr>
            <w:rFonts w:ascii="Times New Roman" w:hAnsi="Times New Roman"/>
            <w:sz w:val="26"/>
            <w:szCs w:val="26"/>
          </w:rPr>
          <w:t>п. 3 ст. 409</w:t>
        </w:r>
      </w:hyperlink>
      <w:r w:rsidRPr="00B72118">
        <w:rPr>
          <w:rFonts w:ascii="Times New Roman" w:hAnsi="Times New Roman"/>
          <w:sz w:val="26"/>
          <w:szCs w:val="26"/>
        </w:rPr>
        <w:t xml:space="preserve"> НК РФ):</w:t>
      </w:r>
    </w:p>
    <w:p w:rsidR="00F238DA" w:rsidRPr="00B72118" w:rsidRDefault="00F238DA" w:rsidP="00F238DA">
      <w:pPr>
        <w:spacing w:after="1" w:line="3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sz w:val="26"/>
          <w:szCs w:val="26"/>
        </w:rPr>
        <w:t>- налог на имущество физических лиц.</w:t>
      </w:r>
    </w:p>
    <w:p w:rsidR="00F238DA" w:rsidRPr="00B72118" w:rsidRDefault="00F238DA" w:rsidP="00F238DA">
      <w:pPr>
        <w:spacing w:after="1" w:line="320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B72118">
        <w:rPr>
          <w:rFonts w:ascii="Times New Roman" w:hAnsi="Times New Roman"/>
          <w:b/>
          <w:sz w:val="26"/>
          <w:szCs w:val="26"/>
        </w:rPr>
        <w:t>- земельный налог;</w:t>
      </w:r>
    </w:p>
    <w:p w:rsidR="00F238DA" w:rsidRPr="00B72118" w:rsidRDefault="00C24A8B" w:rsidP="00F238DA">
      <w:pPr>
        <w:spacing w:after="1" w:line="3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sz w:val="26"/>
          <w:szCs w:val="26"/>
        </w:rPr>
        <w:t>- транспортный налог.</w:t>
      </w:r>
    </w:p>
    <w:p w:rsidR="00F238DA" w:rsidRPr="00B72118" w:rsidRDefault="00F238DA" w:rsidP="00F238DA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F238DA" w:rsidRPr="00B72118" w:rsidRDefault="00C24A8B" w:rsidP="00F238DA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B72118">
        <w:rPr>
          <w:rFonts w:ascii="Times New Roman" w:hAnsi="Times New Roman"/>
          <w:b/>
          <w:sz w:val="26"/>
          <w:szCs w:val="26"/>
        </w:rPr>
        <w:t>Земельный налог</w:t>
      </w:r>
      <w:r w:rsidR="00F238DA" w:rsidRPr="00B72118">
        <w:rPr>
          <w:rFonts w:ascii="Times New Roman" w:hAnsi="Times New Roman"/>
          <w:b/>
          <w:sz w:val="26"/>
          <w:szCs w:val="26"/>
        </w:rPr>
        <w:t xml:space="preserve"> (глава 3</w:t>
      </w:r>
      <w:r w:rsidRPr="00B72118">
        <w:rPr>
          <w:rFonts w:ascii="Times New Roman" w:hAnsi="Times New Roman"/>
          <w:b/>
          <w:sz w:val="26"/>
          <w:szCs w:val="26"/>
        </w:rPr>
        <w:t>1</w:t>
      </w:r>
      <w:r w:rsidR="00F238DA" w:rsidRPr="00B72118">
        <w:rPr>
          <w:rFonts w:ascii="Times New Roman" w:hAnsi="Times New Roman"/>
          <w:b/>
          <w:sz w:val="26"/>
          <w:szCs w:val="26"/>
        </w:rPr>
        <w:t xml:space="preserve"> НК РФ).</w:t>
      </w:r>
    </w:p>
    <w:p w:rsidR="00F238DA" w:rsidRPr="00B72118" w:rsidRDefault="00F238DA" w:rsidP="00F238D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C24A8B" w:rsidRPr="00B72118" w:rsidRDefault="00C24A8B" w:rsidP="00C24A8B">
      <w:pPr>
        <w:spacing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sz w:val="26"/>
          <w:szCs w:val="26"/>
        </w:rPr>
        <w:t xml:space="preserve">Земельный налог  устанавливается Налоговым Кодексом и нормативными правовыми актами представительных органов муниципальных образований, вводится в действие и прекращает </w:t>
      </w:r>
      <w:proofErr w:type="gramStart"/>
      <w:r w:rsidRPr="00B72118">
        <w:rPr>
          <w:rFonts w:ascii="Times New Roman" w:hAnsi="Times New Roman"/>
          <w:sz w:val="26"/>
          <w:szCs w:val="26"/>
        </w:rPr>
        <w:t>действовать в соответствии с  Кодексом и нормативными правовыми актами представительных органов муниципальных образований и обязателен</w:t>
      </w:r>
      <w:proofErr w:type="gramEnd"/>
      <w:r w:rsidRPr="00B72118">
        <w:rPr>
          <w:rFonts w:ascii="Times New Roman" w:hAnsi="Times New Roman"/>
          <w:sz w:val="26"/>
          <w:szCs w:val="26"/>
        </w:rPr>
        <w:t xml:space="preserve"> к уплате на территориях этих муниципальных образований.</w:t>
      </w:r>
    </w:p>
    <w:p w:rsidR="00C24A8B" w:rsidRPr="00B72118" w:rsidRDefault="00C24A8B" w:rsidP="00C24A8B">
      <w:pPr>
        <w:spacing w:after="1" w:line="26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sz w:val="26"/>
          <w:szCs w:val="26"/>
        </w:rPr>
        <w:t xml:space="preserve">Согласно </w:t>
      </w:r>
      <w:hyperlink r:id="rId10" w:history="1">
        <w:r w:rsidRPr="00B72118">
          <w:rPr>
            <w:rFonts w:ascii="Times New Roman" w:hAnsi="Times New Roman"/>
            <w:sz w:val="26"/>
            <w:szCs w:val="26"/>
          </w:rPr>
          <w:t>пункту 1 статьи 388</w:t>
        </w:r>
      </w:hyperlink>
      <w:r w:rsidRPr="00B72118">
        <w:rPr>
          <w:rFonts w:ascii="Times New Roman" w:hAnsi="Times New Roman"/>
          <w:sz w:val="26"/>
          <w:szCs w:val="26"/>
        </w:rPr>
        <w:t xml:space="preserve"> Кодекса налогоплательщиками налога признаются организации и физические лица, обладающие земельными участками, признаваемыми объектом налогообложения в соответствии со </w:t>
      </w:r>
      <w:hyperlink r:id="rId11" w:history="1">
        <w:r w:rsidRPr="00B72118">
          <w:rPr>
            <w:rFonts w:ascii="Times New Roman" w:hAnsi="Times New Roman"/>
            <w:sz w:val="26"/>
            <w:szCs w:val="26"/>
          </w:rPr>
          <w:t>статьей 389</w:t>
        </w:r>
      </w:hyperlink>
      <w:r w:rsidRPr="00B72118">
        <w:rPr>
          <w:rFonts w:ascii="Times New Roman" w:hAnsi="Times New Roman"/>
          <w:sz w:val="26"/>
          <w:szCs w:val="26"/>
        </w:rPr>
        <w:t xml:space="preserve"> Кодекса, на праве собственности, праве постоянного (бессрочного) пользования или праве пожизненного наследуемого владения, если иное не установлено </w:t>
      </w:r>
      <w:hyperlink r:id="rId12" w:history="1">
        <w:r w:rsidRPr="00B72118">
          <w:rPr>
            <w:rFonts w:ascii="Times New Roman" w:hAnsi="Times New Roman"/>
            <w:sz w:val="26"/>
            <w:szCs w:val="26"/>
          </w:rPr>
          <w:t>пунктом 1 статьи 388</w:t>
        </w:r>
      </w:hyperlink>
      <w:r w:rsidRPr="00B72118">
        <w:rPr>
          <w:rFonts w:ascii="Times New Roman" w:hAnsi="Times New Roman"/>
          <w:sz w:val="26"/>
          <w:szCs w:val="26"/>
        </w:rPr>
        <w:t xml:space="preserve"> Кодекса.</w:t>
      </w:r>
    </w:p>
    <w:p w:rsidR="00C24A8B" w:rsidRPr="00B72118" w:rsidRDefault="00C24A8B" w:rsidP="00C24A8B">
      <w:pPr>
        <w:spacing w:after="1" w:line="26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sz w:val="26"/>
          <w:szCs w:val="26"/>
        </w:rPr>
        <w:t xml:space="preserve">Налог исчисляется налоговыми органами на основании сведений о расположенном на подведомственной территории недвижимом имуществе и о его владельцах, которые представляются в налоговые органы в соответствии со </w:t>
      </w:r>
      <w:hyperlink r:id="rId13" w:history="1">
        <w:r w:rsidRPr="00B72118">
          <w:rPr>
            <w:rFonts w:ascii="Times New Roman" w:hAnsi="Times New Roman"/>
            <w:sz w:val="26"/>
            <w:szCs w:val="26"/>
          </w:rPr>
          <w:t>статьей 85</w:t>
        </w:r>
      </w:hyperlink>
      <w:r w:rsidRPr="00B72118">
        <w:rPr>
          <w:rFonts w:ascii="Times New Roman" w:hAnsi="Times New Roman"/>
          <w:sz w:val="26"/>
          <w:szCs w:val="26"/>
        </w:rPr>
        <w:t xml:space="preserve"> Кодекса органами, осуществляющими государственный кадастровый учет и государственную регистрацию прав на недвижимое имущество.</w:t>
      </w:r>
    </w:p>
    <w:p w:rsidR="00C24A8B" w:rsidRPr="00B72118" w:rsidRDefault="00C24A8B" w:rsidP="00C24A8B">
      <w:pPr>
        <w:spacing w:after="1" w:line="26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sz w:val="26"/>
          <w:szCs w:val="26"/>
        </w:rPr>
        <w:t xml:space="preserve"> Объектом налогообложения признаются земельные участки, расположенные в пределах муниципального образования.</w:t>
      </w:r>
    </w:p>
    <w:p w:rsidR="00C24A8B" w:rsidRPr="00B72118" w:rsidRDefault="00C24A8B" w:rsidP="00C24A8B">
      <w:pPr>
        <w:spacing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sz w:val="26"/>
          <w:szCs w:val="26"/>
        </w:rPr>
        <w:t xml:space="preserve">Налоговая база определяется как кадастровая стоимость земельных участков, признаваемых объектом налогообложения в соответствии со </w:t>
      </w:r>
      <w:hyperlink r:id="rId14" w:history="1">
        <w:r w:rsidRPr="00B72118">
          <w:rPr>
            <w:rFonts w:ascii="Times New Roman" w:hAnsi="Times New Roman"/>
            <w:sz w:val="26"/>
            <w:szCs w:val="26"/>
          </w:rPr>
          <w:t>статьей 389</w:t>
        </w:r>
      </w:hyperlink>
      <w:r w:rsidRPr="00B72118">
        <w:rPr>
          <w:rFonts w:ascii="Times New Roman" w:hAnsi="Times New Roman"/>
          <w:sz w:val="26"/>
          <w:szCs w:val="26"/>
        </w:rPr>
        <w:t xml:space="preserve"> Налогового Кодекса.</w:t>
      </w:r>
    </w:p>
    <w:p w:rsidR="00C24A8B" w:rsidRPr="00B72118" w:rsidRDefault="00C24A8B" w:rsidP="00C24A8B">
      <w:pPr>
        <w:spacing w:after="1" w:line="26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sz w:val="26"/>
          <w:szCs w:val="26"/>
        </w:rPr>
        <w:t>Кадастровая стоимость земельного участка определяется в соответствии с земельным законодательством Российской Федерации.</w:t>
      </w:r>
    </w:p>
    <w:p w:rsidR="00C24A8B" w:rsidRDefault="00C24A8B" w:rsidP="00C24A8B">
      <w:pPr>
        <w:spacing w:after="1" w:line="26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sz w:val="26"/>
          <w:szCs w:val="26"/>
        </w:rPr>
        <w:t xml:space="preserve">Налоговая база определяется в отношении каждого земельного участка как его кадастровая стоимость по состоянию на 1 января года, являющегося </w:t>
      </w:r>
      <w:hyperlink r:id="rId15" w:history="1">
        <w:r w:rsidRPr="00B72118">
          <w:rPr>
            <w:rFonts w:ascii="Times New Roman" w:hAnsi="Times New Roman"/>
            <w:sz w:val="26"/>
            <w:szCs w:val="26"/>
          </w:rPr>
          <w:t>налоговым периодом</w:t>
        </w:r>
      </w:hyperlink>
      <w:r w:rsidRPr="00B72118">
        <w:rPr>
          <w:rFonts w:ascii="Times New Roman" w:hAnsi="Times New Roman"/>
          <w:sz w:val="26"/>
          <w:szCs w:val="26"/>
        </w:rPr>
        <w:t>.</w:t>
      </w:r>
    </w:p>
    <w:p w:rsidR="00FB0B00" w:rsidRPr="00B72118" w:rsidRDefault="00FB0B00" w:rsidP="00C24A8B">
      <w:pPr>
        <w:spacing w:after="1" w:line="260" w:lineRule="atLeast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24A8B" w:rsidRPr="00B72118" w:rsidRDefault="00C24A8B" w:rsidP="00C24A8B">
      <w:pPr>
        <w:spacing w:after="1" w:line="260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B72118">
        <w:rPr>
          <w:rFonts w:ascii="Times New Roman" w:hAnsi="Times New Roman"/>
          <w:b/>
          <w:sz w:val="26"/>
          <w:szCs w:val="26"/>
        </w:rPr>
        <w:lastRenderedPageBreak/>
        <w:t>Исчисление земельного налога осуществляется по формуле:</w:t>
      </w:r>
    </w:p>
    <w:p w:rsidR="00C24A8B" w:rsidRPr="00FB0B00" w:rsidRDefault="00C24A8B" w:rsidP="00C24A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B0B00">
        <w:rPr>
          <w:rFonts w:ascii="Times New Roman" w:hAnsi="Times New Roman"/>
          <w:color w:val="000000"/>
          <w:sz w:val="24"/>
          <w:szCs w:val="24"/>
        </w:rPr>
        <w:tab/>
      </w:r>
      <m:oMath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Кадастровая 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стоимость</m:t>
                    </m:r>
                  </m:e>
                </m:eqArr>
              </m:e>
            </m:d>
            <m:r>
              <w:rPr>
                <w:rFonts w:ascii="Cambria Math" w:hAnsi="Cambria Math"/>
                <w:sz w:val="24"/>
                <w:szCs w:val="24"/>
              </w:rPr>
              <m:t>*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Доля 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 праве</m:t>
                    </m:r>
                  </m:e>
                </m:eqArr>
              </m:e>
            </m:d>
            <m:r>
              <w:rPr>
                <w:rFonts w:ascii="Cambria Math" w:hAnsi="Cambria Math"/>
                <w:sz w:val="24"/>
                <w:szCs w:val="24"/>
              </w:rPr>
              <m:t>-</m:t>
            </m:r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Необлагаемая 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налогом сумма</m:t>
                </m:r>
              </m:e>
            </m:eqArr>
          </m:e>
        </m:d>
        <m:r>
          <w:rPr>
            <w:rFonts w:ascii="Cambria Math" w:hAnsi="Cambria Math"/>
            <w:sz w:val="24"/>
            <w:szCs w:val="24"/>
          </w:rPr>
          <m:t>*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Налоговая ставка,%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>*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Количество месяцев владения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</w:p>
    <w:p w:rsidR="00C24A8B" w:rsidRPr="00B72118" w:rsidRDefault="00C24A8B" w:rsidP="00C24A8B">
      <w:pPr>
        <w:spacing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sz w:val="26"/>
          <w:szCs w:val="26"/>
        </w:rPr>
        <w:t>Налоговая ставка устанавливается в зависимости от категории земель и (или) использования земельного участка.</w:t>
      </w:r>
    </w:p>
    <w:p w:rsidR="00687639" w:rsidRPr="00B72118" w:rsidRDefault="00687639" w:rsidP="00C24A8B">
      <w:pPr>
        <w:spacing w:after="1" w:line="220" w:lineRule="atLeast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B72118">
        <w:rPr>
          <w:rFonts w:ascii="Times New Roman" w:hAnsi="Times New Roman"/>
          <w:b/>
          <w:sz w:val="26"/>
          <w:szCs w:val="26"/>
        </w:rPr>
        <w:t>О</w:t>
      </w:r>
      <w:r w:rsidRPr="00B72118">
        <w:rPr>
          <w:rFonts w:ascii="Times New Roman" w:hAnsi="Times New Roman"/>
          <w:b/>
          <w:sz w:val="26"/>
          <w:szCs w:val="26"/>
        </w:rPr>
        <w:t xml:space="preserve"> повышающих коэффициентах</w:t>
      </w:r>
      <w:r w:rsidRPr="00B72118">
        <w:rPr>
          <w:rFonts w:ascii="Times New Roman" w:hAnsi="Times New Roman"/>
          <w:b/>
          <w:sz w:val="26"/>
          <w:szCs w:val="26"/>
        </w:rPr>
        <w:t>.</w:t>
      </w:r>
    </w:p>
    <w:p w:rsidR="00C24A8B" w:rsidRPr="00B72118" w:rsidRDefault="00C24A8B">
      <w:pPr>
        <w:spacing w:after="1" w:line="26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sz w:val="26"/>
          <w:szCs w:val="26"/>
        </w:rPr>
        <w:t xml:space="preserve">В текущем году при расчете земельного налога физических лиц будут применяться нормы Налогового кодекса </w:t>
      </w:r>
      <w:r w:rsidRPr="00FB0B00">
        <w:rPr>
          <w:rFonts w:ascii="Times New Roman" w:hAnsi="Times New Roman"/>
          <w:sz w:val="26"/>
          <w:szCs w:val="26"/>
        </w:rPr>
        <w:t xml:space="preserve">РФ </w:t>
      </w:r>
      <w:hyperlink r:id="rId16" w:history="1">
        <w:r w:rsidRPr="00FB0B00">
          <w:rPr>
            <w:rFonts w:ascii="Times New Roman" w:hAnsi="Times New Roman"/>
            <w:sz w:val="26"/>
            <w:szCs w:val="26"/>
          </w:rPr>
          <w:t>(статья 396)</w:t>
        </w:r>
      </w:hyperlink>
      <w:r w:rsidRPr="00B72118">
        <w:rPr>
          <w:rFonts w:ascii="Times New Roman" w:hAnsi="Times New Roman"/>
          <w:sz w:val="26"/>
          <w:szCs w:val="26"/>
        </w:rPr>
        <w:t xml:space="preserve"> о повышающих коэффициентах.</w:t>
      </w:r>
    </w:p>
    <w:p w:rsidR="00C24A8B" w:rsidRPr="00B72118" w:rsidRDefault="00C24A8B">
      <w:pPr>
        <w:spacing w:after="1" w:line="26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sz w:val="26"/>
          <w:szCs w:val="26"/>
        </w:rPr>
        <w:t>В частности, на земельные участки, приобретенные физическими лицами в собственность для индивидуального жилищного строительства, налог будет начисляться с коэффициентом 2 в течение периода проектирования и строительства, превышающего десятилетний срок, вплоть до государственной регистрации прав на построенный объект недвижимости.</w:t>
      </w:r>
    </w:p>
    <w:p w:rsidR="00C24A8B" w:rsidRPr="00B72118" w:rsidRDefault="00C24A8B">
      <w:pPr>
        <w:spacing w:after="1" w:line="26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sz w:val="26"/>
          <w:szCs w:val="26"/>
        </w:rPr>
        <w:t>То есть, если гражданин приобрел в 2006 году в собственность такой участок и, по истечении 10 лет с момента получения разрешения на строительство, не зарегистрировал права на построенный на этом участке объект недвижимости, то исчисление налога за 2016 год будет производиться с учетом коэффициента 2.</w:t>
      </w:r>
    </w:p>
    <w:p w:rsidR="00C24A8B" w:rsidRPr="00B72118" w:rsidRDefault="00C24A8B">
      <w:pPr>
        <w:spacing w:after="1" w:line="26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sz w:val="26"/>
          <w:szCs w:val="26"/>
        </w:rPr>
        <w:t>На земельные участки, приобретенные в собственность физическими лицами для иных видов жилищного строительства, исчисление налога будет производиться с коэффициентом 2 в течение трех лет, начиная с момента государственной регистрации прав на данные участки, вплоть до государственной регистрации прав на построенный объект недвижимости.</w:t>
      </w:r>
    </w:p>
    <w:p w:rsidR="00C24A8B" w:rsidRPr="00B72118" w:rsidRDefault="00C24A8B">
      <w:pPr>
        <w:spacing w:after="1" w:line="26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sz w:val="26"/>
          <w:szCs w:val="26"/>
        </w:rPr>
        <w:t xml:space="preserve">Так, если гражданин в 2015 году приобрел в собственность вышеуказанный участок (например, для </w:t>
      </w:r>
      <w:proofErr w:type="spellStart"/>
      <w:r w:rsidRPr="00B72118">
        <w:rPr>
          <w:rFonts w:ascii="Times New Roman" w:hAnsi="Times New Roman"/>
          <w:sz w:val="26"/>
          <w:szCs w:val="26"/>
        </w:rPr>
        <w:t>среднеэтажной</w:t>
      </w:r>
      <w:proofErr w:type="spellEnd"/>
      <w:r w:rsidRPr="00B72118">
        <w:rPr>
          <w:rFonts w:ascii="Times New Roman" w:hAnsi="Times New Roman"/>
          <w:sz w:val="26"/>
          <w:szCs w:val="26"/>
        </w:rPr>
        <w:t xml:space="preserve"> комплексной жилой застройки) и не зарегистрировал права на построенный на этом участке объект недвижимости, то исчисление налога за 2016 год для него будет производиться с учетом коэффициента 2.</w:t>
      </w:r>
    </w:p>
    <w:p w:rsidR="00C24A8B" w:rsidRPr="00B72118" w:rsidRDefault="00C24A8B">
      <w:pPr>
        <w:spacing w:after="1" w:line="26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sz w:val="26"/>
          <w:szCs w:val="26"/>
        </w:rPr>
        <w:t>В случае государственной регистрации прав на построенный объект недвижимости до завершения трехлетнего срока строительства, излишне уплаченная сумма налога (с коэффициентом более 1) подлежит зачету (возврату) налогоплательщику в общеустановленном порядке.</w:t>
      </w:r>
    </w:p>
    <w:p w:rsidR="0039475C" w:rsidRPr="00B72118" w:rsidRDefault="0039475C">
      <w:pPr>
        <w:spacing w:after="1" w:line="26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sz w:val="26"/>
          <w:szCs w:val="26"/>
        </w:rPr>
        <w:t>В соотв</w:t>
      </w:r>
      <w:bookmarkStart w:id="0" w:name="_GoBack"/>
      <w:bookmarkEnd w:id="0"/>
      <w:r w:rsidRPr="00B72118">
        <w:rPr>
          <w:rFonts w:ascii="Times New Roman" w:hAnsi="Times New Roman"/>
          <w:sz w:val="26"/>
          <w:szCs w:val="26"/>
        </w:rPr>
        <w:t xml:space="preserve">етствии со </w:t>
      </w:r>
      <w:hyperlink r:id="rId17" w:history="1">
        <w:r w:rsidRPr="00B72118">
          <w:rPr>
            <w:rFonts w:ascii="Times New Roman" w:hAnsi="Times New Roman"/>
            <w:color w:val="0000FF"/>
            <w:sz w:val="26"/>
            <w:szCs w:val="26"/>
          </w:rPr>
          <w:t>ст. 397</w:t>
        </w:r>
      </w:hyperlink>
      <w:r w:rsidRPr="00B72118">
        <w:rPr>
          <w:rFonts w:ascii="Times New Roman" w:hAnsi="Times New Roman"/>
          <w:sz w:val="26"/>
          <w:szCs w:val="26"/>
        </w:rPr>
        <w:t xml:space="preserve"> Налогового кодекса РФ налог подлежит уплате налогоплательщиками - физическими лицами в срок </w:t>
      </w:r>
      <w:r w:rsidRPr="00FB0B00">
        <w:rPr>
          <w:rFonts w:ascii="Times New Roman" w:hAnsi="Times New Roman"/>
          <w:b/>
          <w:sz w:val="26"/>
          <w:szCs w:val="26"/>
        </w:rPr>
        <w:t>не позднее 1 декабря</w:t>
      </w:r>
      <w:r w:rsidRPr="00B72118">
        <w:rPr>
          <w:rFonts w:ascii="Times New Roman" w:hAnsi="Times New Roman"/>
          <w:sz w:val="26"/>
          <w:szCs w:val="26"/>
        </w:rPr>
        <w:t xml:space="preserve"> года, следующего за истекшим налоговым периодом. Налогоплательщики - физические лица уплачивают налог на основании налогового уведомления, направленного налоговым органом.</w:t>
      </w:r>
    </w:p>
    <w:p w:rsidR="00687639" w:rsidRPr="00B72118" w:rsidRDefault="00687639">
      <w:pPr>
        <w:spacing w:after="1" w:line="26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b/>
          <w:sz w:val="26"/>
          <w:szCs w:val="26"/>
        </w:rPr>
        <w:t>Внимание!</w:t>
      </w:r>
      <w:r w:rsidRPr="00B72118">
        <w:rPr>
          <w:rFonts w:ascii="Times New Roman" w:hAnsi="Times New Roman"/>
          <w:sz w:val="26"/>
          <w:szCs w:val="26"/>
        </w:rPr>
        <w:t xml:space="preserve"> Пользователи сервиса «Личный кабинет налогоплательщика для физических лиц» получат налоговые уведомления по имущественным налогам только в электронном виде!</w:t>
      </w:r>
    </w:p>
    <w:p w:rsidR="00687639" w:rsidRPr="00B72118" w:rsidRDefault="00687639" w:rsidP="00687639">
      <w:pPr>
        <w:spacing w:after="1" w:line="26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sz w:val="26"/>
          <w:szCs w:val="26"/>
        </w:rPr>
        <w:t xml:space="preserve">Пользователям, пожелавшим получать налоговое уведомление на бумажном носителе, необходимо будет направить уведомление об этом в любой налоговый орган, подписав его электронной подписью. </w:t>
      </w:r>
    </w:p>
    <w:p w:rsidR="00687639" w:rsidRPr="00B72118" w:rsidRDefault="00687639" w:rsidP="00687639">
      <w:pPr>
        <w:spacing w:after="1" w:line="26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sz w:val="26"/>
          <w:szCs w:val="26"/>
        </w:rPr>
        <w:t xml:space="preserve">Уведомление о необходимости получения документов на бумажном носителе можно направить из раздела "Профиль" Личного кабинета, а также из раздела "Документы налогоплательщика" - "Электронный документооборот" и сделать это необходимо в срок,  </w:t>
      </w:r>
      <w:r w:rsidRPr="00B72118">
        <w:rPr>
          <w:rFonts w:ascii="Times New Roman" w:hAnsi="Times New Roman"/>
          <w:b/>
          <w:sz w:val="26"/>
          <w:szCs w:val="26"/>
        </w:rPr>
        <w:t>до 1 сентября 2017 года.</w:t>
      </w:r>
    </w:p>
    <w:p w:rsidR="00687639" w:rsidRPr="00B72118" w:rsidRDefault="00687639">
      <w:pPr>
        <w:spacing w:after="1" w:line="260" w:lineRule="atLeast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306D1" w:rsidRPr="00B72118" w:rsidRDefault="004306D1" w:rsidP="00F238DA">
      <w:pPr>
        <w:spacing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 w:rsidRPr="00B72118">
        <w:rPr>
          <w:rFonts w:ascii="Times New Roman" w:hAnsi="Times New Roman"/>
          <w:sz w:val="26"/>
          <w:szCs w:val="26"/>
        </w:rPr>
        <w:t>Отдел работы с налогоплательщиками.</w:t>
      </w:r>
    </w:p>
    <w:p w:rsidR="00F238DA" w:rsidRPr="00B72118" w:rsidRDefault="00F238DA" w:rsidP="00F238DA">
      <w:pPr>
        <w:spacing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34B33" w:rsidRPr="00B72118" w:rsidRDefault="00B34B33">
      <w:pPr>
        <w:rPr>
          <w:rFonts w:ascii="Times New Roman" w:hAnsi="Times New Roman"/>
          <w:sz w:val="26"/>
          <w:szCs w:val="26"/>
        </w:rPr>
      </w:pPr>
    </w:p>
    <w:sectPr w:rsidR="00B34B33" w:rsidRPr="00B72118" w:rsidSect="00F238D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DA"/>
    <w:rsid w:val="002B5132"/>
    <w:rsid w:val="0039475C"/>
    <w:rsid w:val="004306D1"/>
    <w:rsid w:val="004957A5"/>
    <w:rsid w:val="00687639"/>
    <w:rsid w:val="00981EF1"/>
    <w:rsid w:val="00A553C3"/>
    <w:rsid w:val="00B226DD"/>
    <w:rsid w:val="00B34B33"/>
    <w:rsid w:val="00B72118"/>
    <w:rsid w:val="00C24A8B"/>
    <w:rsid w:val="00F238DA"/>
    <w:rsid w:val="00F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D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A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D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A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B460B16AEC1DED917914C48146220C3F67B9C7314B02B5EE8CE443CE3A6EAA3CF3DBA49E6BE0m2GAO" TargetMode="External"/><Relationship Id="rId13" Type="http://schemas.openxmlformats.org/officeDocument/2006/relationships/hyperlink" Target="consultantplus://offline/ref=ED9F2E4745D78080F4B92A7AA981D232D61F7D97C239C249D0B159420BB8CB8C0661FDF3C33DB7D3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B460B16AEC1DED917914C48146220C3F67B9C7314B02B5EE8CE443CE3A6EAA3CF3DBA49E6AE8m2GFO" TargetMode="External"/><Relationship Id="rId12" Type="http://schemas.openxmlformats.org/officeDocument/2006/relationships/hyperlink" Target="consultantplus://offline/ref=ED9F2E4745D78080F4B92A7AA981D232D61E799DC239C249D0B159420BB8CB8C0661FDF4C23CB7D6M" TargetMode="External"/><Relationship Id="rId17" Type="http://schemas.openxmlformats.org/officeDocument/2006/relationships/hyperlink" Target="consultantplus://offline/ref=9D59DD070A4A13BBB3C49B40211D0C7D1D0FAEC8E0E9D7997D8FDCA4441C88A0D5D7F02BE86511M7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F88367A26CE44AE3D4CC6126B971AE6F5E189C5F94CB5CDAD5FA6A03C8C4428CFE98FD7EDD7F3366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B460B16AEC1DED917914C48146220C3F69B5C7364302B5EE8CE443CE3A6EAA3CF3DBA49E6EE02Dm9GFO" TargetMode="External"/><Relationship Id="rId11" Type="http://schemas.openxmlformats.org/officeDocument/2006/relationships/hyperlink" Target="consultantplus://offline/ref=ED9F2E4745D78080F4B92A7AA981D232D61E799DC239C249D0B159420BB8CB8C0661FDF3C23EB7D7M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909C49B646805FFA37C29C8EC3DEB7736D9456F8E5B0AB34D3E9633EA49567263F6DD0CCE8D4LAK4M" TargetMode="External"/><Relationship Id="rId10" Type="http://schemas.openxmlformats.org/officeDocument/2006/relationships/hyperlink" Target="consultantplus://offline/ref=ED9F2E4745D78080F4B92A7AA981D232D61E799DC239C249D0B159420BB8CB8C0661FDF4C23CB7D6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B460B16AEC1DED917914C48146220C3F67B9C7314B02B5EE8CE443CE3A6EAA3CF3DBA49E6AE4m2GBO" TargetMode="External"/><Relationship Id="rId14" Type="http://schemas.openxmlformats.org/officeDocument/2006/relationships/hyperlink" Target="consultantplus://offline/ref=F80696402931ABD5842A92BD814FA401F008F6D1718426D4AFEB89F722BE2761DA8B95557B75dCI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1689-00-049</cp:lastModifiedBy>
  <cp:revision>2</cp:revision>
  <dcterms:created xsi:type="dcterms:W3CDTF">2017-07-28T12:25:00Z</dcterms:created>
  <dcterms:modified xsi:type="dcterms:W3CDTF">2017-07-28T12:25:00Z</dcterms:modified>
</cp:coreProperties>
</file>